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3D" w:rsidRDefault="00B94F3D">
      <w:pPr>
        <w:sectPr w:rsidR="00B94F3D" w:rsidSect="00B94F3D">
          <w:pgSz w:w="16838" w:h="11906" w:orient="landscape"/>
          <w:pgMar w:top="1417" w:right="363" w:bottom="850" w:left="363" w:header="709" w:footer="709" w:gutter="0"/>
          <w:cols w:space="708"/>
          <w:docGrid w:linePitch="360"/>
        </w:sectPr>
      </w:pPr>
    </w:p>
    <w:p w:rsidR="00B94F3D" w:rsidRPr="00B94F3D" w:rsidRDefault="00B94F3D" w:rsidP="00F16D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  <w:r w:rsidRPr="00B94F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uk-UA"/>
        </w:rPr>
        <w:lastRenderedPageBreak/>
        <w:tab/>
      </w:r>
    </w:p>
    <w:p w:rsidR="00B94F3D" w:rsidRPr="00B94F3D" w:rsidRDefault="00B94F3D" w:rsidP="00B94F3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297"/>
        <w:gridCol w:w="426"/>
        <w:gridCol w:w="1233"/>
        <w:gridCol w:w="675"/>
        <w:gridCol w:w="676"/>
        <w:gridCol w:w="676"/>
      </w:tblGrid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gridSpan w:val="3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gridSpan w:val="3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2016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Підприємство  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Публічне акціонерне товариство "Клеванський лісозавод "Промінь"</w:t>
            </w:r>
          </w:p>
        </w:tc>
        <w:tc>
          <w:tcPr>
            <w:tcW w:w="1956" w:type="dxa"/>
            <w:gridSpan w:val="3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13979681</w:t>
            </w:r>
          </w:p>
        </w:tc>
      </w:tr>
      <w:tr w:rsidR="00B94F3D" w:rsidRPr="00B94F3D" w:rsidTr="000766D2">
        <w:trPr>
          <w:trHeight w:val="199"/>
        </w:trPr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Територія 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РIВНЕНСЬКА ОБЛАСТЬ</w:t>
            </w:r>
          </w:p>
        </w:tc>
        <w:tc>
          <w:tcPr>
            <w:tcW w:w="1956" w:type="dxa"/>
            <w:gridSpan w:val="3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КОАТУУ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5624655400</w:t>
            </w:r>
          </w:p>
        </w:tc>
      </w:tr>
      <w:tr w:rsidR="00B94F3D" w:rsidRPr="00B94F3D" w:rsidTr="000766D2">
        <w:trPr>
          <w:trHeight w:val="199"/>
        </w:trPr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Організаційно-правова форма господарювання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ПУБЛ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I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ЧНЕ АКЦ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I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ОНЕРНЕ ТОВАРИСТВО</w:t>
            </w:r>
          </w:p>
        </w:tc>
        <w:tc>
          <w:tcPr>
            <w:tcW w:w="1956" w:type="dxa"/>
            <w:gridSpan w:val="3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КОПФГ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112</w:t>
            </w: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економічної діяльності  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ЛІСОПИЛЬНЕ ТА СТРУГАЛЬНЕ ВИРОБНИЦТВО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КВЕД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16.10</w:t>
            </w: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кількість працівників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217</w:t>
            </w:r>
          </w:p>
        </w:tc>
        <w:tc>
          <w:tcPr>
            <w:tcW w:w="1956" w:type="dxa"/>
            <w:gridSpan w:val="3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Одиниця виміру</w:t>
            </w:r>
            <w:r w:rsidRPr="00B94F3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: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тис. грн.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Адреса 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35311 Р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i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вненська область Р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i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вненський р-н смт.Клевань вул. 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Залiзнична, 2, т.(0362)27-20-47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Складено (зробити позначку "v" у відповідній клітинці):</w:t>
            </w:r>
          </w:p>
        </w:tc>
        <w:tc>
          <w:tcPr>
            <w:tcW w:w="1956" w:type="dxa"/>
            <w:gridSpan w:val="3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left w:val="nil"/>
              <w:right w:val="nil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F3D" w:rsidRPr="00B94F3D" w:rsidTr="000766D2">
        <w:trPr>
          <w:gridAfter w:val="4"/>
          <w:wAfter w:w="3260" w:type="dxa"/>
        </w:trPr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положеннями (стандартами) бухгалтерського обліку</w:t>
            </w:r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4F3D" w:rsidRPr="00B94F3D" w:rsidTr="000766D2">
        <w:trPr>
          <w:gridAfter w:val="4"/>
          <w:wAfter w:w="3260" w:type="dxa"/>
        </w:trPr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міжнародними стандартами фінансової звітності</w:t>
            </w:r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</w:tbl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4F3D">
        <w:rPr>
          <w:rFonts w:ascii="Times New Roman" w:eastAsia="Times New Roman" w:hAnsi="Times New Roman" w:cs="Times New Roman"/>
          <w:b/>
          <w:bCs/>
          <w:lang w:eastAsia="ru-RU"/>
        </w:rPr>
        <w:t xml:space="preserve">Баланс ( Звіт про фінансовий стан ) на "31" грудня 2015 р. </w:t>
      </w: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40"/>
        <w:gridCol w:w="1107"/>
      </w:tblGrid>
      <w:tr w:rsidR="00B94F3D" w:rsidRPr="00B94F3D" w:rsidTr="000766D2">
        <w:trPr>
          <w:jc w:val="right"/>
        </w:trPr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  <w:r w:rsidRPr="00B94F3D">
              <w:rPr>
                <w:rFonts w:ascii="Times New Roman" w:eastAsia="Times New Roman" w:hAnsi="Times New Roman" w:cs="Times New Roman"/>
                <w:lang w:val="en-US" w:eastAsia="ru-RU"/>
              </w:rPr>
              <w:t>Форма № 1</w:t>
            </w:r>
            <w:r w:rsidRPr="00B94F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Код за ДКУД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lang w:val="en-US" w:eastAsia="ru-RU"/>
              </w:rPr>
              <w:t>1801001</w:t>
            </w:r>
          </w:p>
        </w:tc>
      </w:tr>
    </w:tbl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початок звітного 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кінець звітного періоду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I. Необоротні активи 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Нематеріальні активи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накопичена амортизація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Незавершені капітальні інвестиції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Основні засоби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9773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7914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17529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17668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знос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7756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9754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Інвестиційна нерухомість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Довгострокові біологічні активи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Довгострокові фінансові інвестиції: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які обліковуються за методом участі в капіталі інших підприємств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1199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інші фінансові інвестиції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Довгострокова дебіторська заборгованість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Відстрочені податкові активи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Інші необоротні активи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Усього за розділом 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10833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9163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II. Оборотні активи 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Запаси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13281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Поточні біологічні активи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4421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Дебіторська заборгованість за розрахунками: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виданими авансами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з бюджетом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1197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тому числі з податку на прибуток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Інша поточна дебіторська заборгованість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2349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Поточні фінансові інвестиції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Гроші та їх еквіваленти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617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Витрати майбутніх періодів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Інші оборотні активи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Усього за розділом II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18428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22167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Необоротні активи, утримувані для продажу, та групи вибуття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Баланс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29330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31399</w:t>
            </w: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94F3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br w:type="page"/>
      </w: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Пасив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початок звітного року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кінець звітного періоду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 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І. Власний капітал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Зареєстрований (пайовий) капітал 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Капітал у дооцінках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Додатковий капітал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Резервний капітал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Нерозподілений прибуток (непокритий збиток)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-38205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-74085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Неоплачений капітал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Вилучений капітал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Усього за розділом 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-36705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-72585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Довгострокові зобов'язання і забезпечення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Відстрочені податкові зобов'язання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Довгострокові кредити банків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Інші довгострокові зобов'язання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53468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62055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Довгострокові забезпечення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Цільове фінансування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Усього за розділом II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53508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62055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ІІ. Поточні зобов'язання і забезпечення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Короткострокові кредити банків 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Поточна кредиторська заборгованість за: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довгостроковими зобов'язаннями 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32978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товари, роботи, послуги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7770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8711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розрахунками з бюджетом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тому числі з податку на прибуток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розрахунками зі страхування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розрахунками з оплати праці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Поточні забезпечення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Доходи майбутніх періодів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Інші поточні зобов'язання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Усього за розділом IІІ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12527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41929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Зобов'язання, пов'язані з необоротними активами,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утримуваними для продажу, та групами вибуття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Баланс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29330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31399</w:t>
            </w: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ru-RU"/>
        </w:rPr>
        <w:t>д/н</w:t>
      </w: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2943"/>
        <w:gridCol w:w="2765"/>
        <w:gridCol w:w="4147"/>
      </w:tblGrid>
      <w:tr w:rsidR="00B94F3D" w:rsidRPr="00B94F3D" w:rsidTr="000766D2">
        <w:tc>
          <w:tcPr>
            <w:tcW w:w="294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Директор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Стрихарчук Віталій Олександрович</w:t>
            </w:r>
          </w:p>
        </w:tc>
      </w:tr>
      <w:tr w:rsidR="00B94F3D" w:rsidRPr="00B94F3D" w:rsidTr="000766D2">
        <w:tc>
          <w:tcPr>
            <w:tcW w:w="294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94F3D" w:rsidRPr="00B94F3D" w:rsidTr="000766D2">
        <w:tc>
          <w:tcPr>
            <w:tcW w:w="294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94F3D" w:rsidRPr="00B94F3D" w:rsidTr="000766D2">
        <w:tc>
          <w:tcPr>
            <w:tcW w:w="294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Прокопчук Оксана Михайлівна</w:t>
            </w:r>
          </w:p>
        </w:tc>
      </w:tr>
      <w:tr w:rsidR="00B94F3D" w:rsidRPr="00B94F3D" w:rsidTr="000766D2">
        <w:tc>
          <w:tcPr>
            <w:tcW w:w="294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Default="00B94F3D">
      <w:pPr>
        <w:sectPr w:rsidR="00B94F3D" w:rsidSect="00B94F3D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B94F3D" w:rsidRPr="00B94F3D" w:rsidRDefault="00B94F3D" w:rsidP="00B94F3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2016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Підприємство  </w:t>
            </w: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Публічне акціонерне товариство "Клеванський лісозавод "Промінь"</w:t>
            </w:r>
          </w:p>
        </w:tc>
        <w:tc>
          <w:tcPr>
            <w:tcW w:w="1956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13979681</w:t>
            </w:r>
          </w:p>
        </w:tc>
      </w:tr>
    </w:tbl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4F3D">
        <w:rPr>
          <w:rFonts w:ascii="Times New Roman" w:eastAsia="Times New Roman" w:hAnsi="Times New Roman" w:cs="Times New Roman"/>
          <w:b/>
          <w:bCs/>
          <w:lang w:eastAsia="ru-RU"/>
        </w:rPr>
        <w:t>Звіт про фінансові результати</w:t>
      </w:r>
      <w:r w:rsidRPr="00B94F3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 </w:t>
      </w:r>
      <w:r w:rsidRPr="00B94F3D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Звіт про сукупний дохід</w:t>
      </w:r>
      <w:r w:rsidRPr="00B94F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 </w:t>
      </w:r>
      <w:r w:rsidRPr="00B94F3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) </w:t>
      </w: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94F3D">
        <w:rPr>
          <w:rFonts w:ascii="Times New Roman" w:eastAsia="Times New Roman" w:hAnsi="Times New Roman" w:cs="Times New Roman"/>
          <w:b/>
          <w:bCs/>
          <w:lang w:val="en-US" w:eastAsia="ru-RU"/>
        </w:rPr>
        <w:t>з</w:t>
      </w:r>
      <w:r w:rsidRPr="00B94F3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а </w:t>
      </w:r>
      <w:r w:rsidRPr="00B94F3D">
        <w:rPr>
          <w:rFonts w:ascii="Times New Roman" w:eastAsia="Times New Roman" w:hAnsi="Times New Roman" w:cs="Times New Roman"/>
          <w:b/>
          <w:bCs/>
          <w:lang w:val="en-US" w:eastAsia="ru-RU"/>
        </w:rPr>
        <w:t>2015 рік</w:t>
      </w:r>
      <w:r w:rsidRPr="00B94F3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B94F3D" w:rsidRPr="00B94F3D" w:rsidTr="000766D2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</w:t>
            </w:r>
            <w:r w:rsidRPr="00B94F3D">
              <w:rPr>
                <w:rFonts w:ascii="Times New Roman" w:eastAsia="Times New Roman" w:hAnsi="Times New Roman" w:cs="Times New Roman"/>
                <w:lang w:val="en-US" w:eastAsia="ru-RU"/>
              </w:rPr>
              <w:t>Форма № 2</w:t>
            </w:r>
            <w:r w:rsidRPr="00B94F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lang w:val="en-US" w:eastAsia="ru-RU"/>
              </w:rPr>
              <w:t>1801003</w:t>
            </w:r>
          </w:p>
        </w:tc>
      </w:tr>
    </w:tbl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B94F3D" w:rsidRPr="00B94F3D" w:rsidRDefault="00B94F3D" w:rsidP="00B94F3D">
      <w:pPr>
        <w:keepNext/>
        <w:widowControl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</w:pPr>
      <w:r w:rsidRPr="00B94F3D"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  <w:t>І. ФІНАНСОВІ РЕЗУЛЬТАТИ</w:t>
      </w: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дохід від реалізації продукції (товарів, робіт, послуг)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18769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Собівартість реалізованої продукції (товарів, робіт, послуг)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(16195)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(18062)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Валовий:  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прибуток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707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збиток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операційні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2325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Адміністративні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(1264)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(1586)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 на збут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(1744)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(1229)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операційні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(211)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(29855)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 від операційної діяльності:  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прибуток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збиток 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(29638)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Дохід від участі в капіталі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фінансові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9095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(6331)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(3470)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Втрати від участі в капіталі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(22)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(224)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(39842)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 до оподаткування: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прибуток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збиток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(36120)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(33319)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 (дохід) з податку на прибуток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-40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фінансовий результат:  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прибуток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збиток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(36120)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(33359)</w:t>
            </w: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94F3D" w:rsidRPr="00B94F3D" w:rsidRDefault="00B94F3D" w:rsidP="00B94F3D">
      <w:pPr>
        <w:keepNext/>
        <w:widowControl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lang w:val="en-US" w:eastAsia="ru-RU"/>
        </w:rPr>
      </w:pPr>
      <w:r w:rsidRPr="00B94F3D"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  <w:t xml:space="preserve">II. </w:t>
      </w:r>
      <w:r w:rsidRPr="00B94F3D">
        <w:rPr>
          <w:rFonts w:ascii="Times New Roman CYR" w:eastAsia="Times New Roman" w:hAnsi="Times New Roman CYR" w:cs="Times New Roman CYR"/>
          <w:b/>
          <w:bCs/>
          <w:lang w:val="uk-UA" w:eastAsia="ru-RU"/>
        </w:rPr>
        <w:t>СУКУПНИЙ ДОХІД</w:t>
      </w: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Дооцінка (уцінка) необоротних активів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Дооцінка (уцінка) фінансових інструментів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Накопичені курсові різниці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Інший сукупний дохід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Інший сукупний дохід до оподаткування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Податок на прибуток, пов'язаний з іншим сукупним доходом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Інший сукупний дохід після оподаткування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Сукупний дохід (сума рядків 2350, 2355 та 2460)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-36120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-33359</w:t>
            </w: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94F3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br w:type="page"/>
      </w:r>
    </w:p>
    <w:p w:rsidR="00B94F3D" w:rsidRPr="00B94F3D" w:rsidRDefault="00B94F3D" w:rsidP="00B94F3D">
      <w:pPr>
        <w:keepNext/>
        <w:widowControl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lang w:val="uk-UA" w:eastAsia="ru-RU"/>
        </w:rPr>
      </w:pPr>
      <w:r w:rsidRPr="00B94F3D">
        <w:rPr>
          <w:rFonts w:ascii="Times New Roman CYR" w:eastAsia="Times New Roman" w:hAnsi="Times New Roman CYR" w:cs="Times New Roman CYR"/>
          <w:b/>
          <w:bCs/>
          <w:lang w:val="en-US" w:eastAsia="ru-RU"/>
        </w:rPr>
        <w:lastRenderedPageBreak/>
        <w:t xml:space="preserve">III. </w:t>
      </w:r>
      <w:r w:rsidRPr="00B94F3D">
        <w:rPr>
          <w:rFonts w:ascii="Times New Roman CYR" w:eastAsia="Times New Roman" w:hAnsi="Times New Roman CYR" w:cs="Times New Roman CYR"/>
          <w:b/>
          <w:bCs/>
          <w:lang w:val="uk-UA" w:eastAsia="ru-RU"/>
        </w:rPr>
        <w:t>ЕЛЕМЕНТИ ОПЕРАЦІЙНИХ ВИТРАТ</w:t>
      </w:r>
    </w:p>
    <w:p w:rsidR="00B94F3D" w:rsidRPr="00B94F3D" w:rsidRDefault="00B94F3D" w:rsidP="00B94F3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Назва статті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Матеріальні затрати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15328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8934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на оплату праці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3883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4537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1715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2369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3385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22877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20940</w:t>
            </w: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94F3D" w:rsidRPr="00B94F3D" w:rsidRDefault="00B94F3D" w:rsidP="00B94F3D">
      <w:pPr>
        <w:keepNext/>
        <w:widowControl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</w:pPr>
      <w:r w:rsidRPr="00B94F3D"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  <w:t>ІV.</w:t>
      </w:r>
      <w:r w:rsidRPr="00B94F3D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 xml:space="preserve"> </w:t>
      </w:r>
      <w:r w:rsidRPr="00B94F3D"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  <w:t xml:space="preserve"> РОЗРАХУНОК ПОКАЗНИКІВ ПРИБУТКОВОСТІ АКЦІЙ</w:t>
      </w:r>
    </w:p>
    <w:p w:rsidR="00B94F3D" w:rsidRPr="00B94F3D" w:rsidRDefault="00B94F3D" w:rsidP="00B94F3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Назва статті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Середньорічна кількість простих акцій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150000000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150000000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Скоригована середньорічна кількість простих акцій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2605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150000000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150000000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Чистий прибуток (збиток)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  0.24711330)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  0.22239330)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Скоригований чистий прибуток (збиток)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  0.24711330)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  0.22239330)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Дивіденди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2650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2943"/>
        <w:gridCol w:w="2765"/>
        <w:gridCol w:w="4147"/>
      </w:tblGrid>
      <w:tr w:rsidR="00B94F3D" w:rsidRPr="00B94F3D" w:rsidTr="000766D2">
        <w:tc>
          <w:tcPr>
            <w:tcW w:w="294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Директор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Стрихарчук Віталій Олександрович</w:t>
            </w:r>
          </w:p>
        </w:tc>
      </w:tr>
      <w:tr w:rsidR="00B94F3D" w:rsidRPr="00B94F3D" w:rsidTr="000766D2">
        <w:tc>
          <w:tcPr>
            <w:tcW w:w="294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94F3D" w:rsidRPr="00B94F3D" w:rsidTr="000766D2">
        <w:tc>
          <w:tcPr>
            <w:tcW w:w="294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94F3D" w:rsidRPr="00B94F3D" w:rsidTr="000766D2">
        <w:tc>
          <w:tcPr>
            <w:tcW w:w="294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Прокопчук Оксана Михайлівна</w:t>
            </w:r>
          </w:p>
        </w:tc>
      </w:tr>
      <w:tr w:rsidR="00B94F3D" w:rsidRPr="00B94F3D" w:rsidTr="000766D2">
        <w:trPr>
          <w:trHeight w:val="70"/>
        </w:trPr>
        <w:tc>
          <w:tcPr>
            <w:tcW w:w="294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Default="00B94F3D">
      <w:pPr>
        <w:sectPr w:rsidR="00B94F3D" w:rsidSect="00B94F3D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B94F3D" w:rsidRPr="00B94F3D" w:rsidRDefault="00B94F3D" w:rsidP="00B94F3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2016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Підприємство  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Публічне акціонерне товариство "Клеванський лісозавод "Промінь"</w:t>
            </w:r>
          </w:p>
        </w:tc>
        <w:tc>
          <w:tcPr>
            <w:tcW w:w="1956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13979681</w:t>
            </w:r>
          </w:p>
        </w:tc>
      </w:tr>
    </w:tbl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4F3D">
        <w:rPr>
          <w:rFonts w:ascii="Times New Roman" w:eastAsia="Times New Roman" w:hAnsi="Times New Roman" w:cs="Times New Roman"/>
          <w:b/>
          <w:bCs/>
          <w:lang w:eastAsia="ru-RU"/>
        </w:rPr>
        <w:t>Звіт</w:t>
      </w:r>
      <w:r w:rsidRPr="00B94F3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про рух грошових коштів ( за прямим методом )</w:t>
      </w: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94F3D">
        <w:rPr>
          <w:rFonts w:ascii="Times New Roman" w:eastAsia="Times New Roman" w:hAnsi="Times New Roman" w:cs="Times New Roman"/>
          <w:b/>
          <w:bCs/>
          <w:lang w:val="en-US" w:eastAsia="ru-RU"/>
        </w:rPr>
        <w:t>з</w:t>
      </w:r>
      <w:r w:rsidRPr="00B94F3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а </w:t>
      </w:r>
      <w:r w:rsidRPr="00B94F3D">
        <w:rPr>
          <w:rFonts w:ascii="Times New Roman" w:eastAsia="Times New Roman" w:hAnsi="Times New Roman" w:cs="Times New Roman"/>
          <w:b/>
          <w:bCs/>
          <w:lang w:val="en-US" w:eastAsia="ru-RU"/>
        </w:rPr>
        <w:t>2015 рік</w:t>
      </w:r>
      <w:r w:rsidRPr="00B94F3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B94F3D" w:rsidRPr="00B94F3D" w:rsidTr="000766D2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</w:t>
            </w:r>
            <w:r w:rsidRPr="00B94F3D">
              <w:rPr>
                <w:rFonts w:ascii="Times New Roman" w:eastAsia="Times New Roman" w:hAnsi="Times New Roman" w:cs="Times New Roman"/>
                <w:lang w:val="en-US" w:eastAsia="ru-RU"/>
              </w:rPr>
              <w:t>Форма № 3</w:t>
            </w:r>
            <w:r w:rsidRPr="00B94F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lang w:val="en-US" w:eastAsia="ru-RU"/>
              </w:rPr>
              <w:t>1801004</w:t>
            </w:r>
          </w:p>
        </w:tc>
      </w:tr>
    </w:tbl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І. Рух коштів у результаті операційної діяльності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Реалізації продукції (товарів, робіт, послуг)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17418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20380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Повернення податків і зборів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483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тому числі податку на додану вартість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Цільового фінансування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авансів від покупців і замовників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1783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 повернення авансів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надходження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 оплату: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Товарів (робіт, послуг)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(19574)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(12212)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(3417)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(3954)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Відрахувань на соціальні заходи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(1645)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(1912)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Зобов'язань з податків і зборів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(528)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(571)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Зобов'язання з податку на прибуток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(46)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Зобов'язання з інших податків і зборів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(52)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 оплату авансів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(2174)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 оплату повернення авансів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(11)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 оплату цільових внесків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витрачання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(81)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(210)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рух коштів від операційної діяльності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II. Рух коштів у результаті інвестиційної діяльності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 реалізації: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фінансових інвестицій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необоротних активів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 отриманих: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відсотків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дивідендів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 деривативів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 погашення позик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232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надходження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 придбання: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фінансових інвестицій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необоротних активів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(165)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(2718)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Виплати за деривативами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 надання позик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(45)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платежі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рух коштів від інвестиційної діяльності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-165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-2528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III. Рух коштів у результаті фінансової діяльності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Власного капіталу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Отримання позик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надходження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Викуп власних акцій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Погашення позик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Сплату дивідендів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платежі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рух коштів від фінансової діяльності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рух грошових коштів за звітний період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-143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-517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Залишок коштів на початок року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1047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Вплив зміни валютних курсів на залишок коштів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</w:tr>
      <w:tr w:rsidR="00B94F3D" w:rsidRPr="00B94F3D" w:rsidTr="000766D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Залишок коштів на кінець року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</w:t>
            </w: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10031" w:type="dxa"/>
        <w:tblLook w:val="01E0"/>
      </w:tblPr>
      <w:tblGrid>
        <w:gridCol w:w="3085"/>
        <w:gridCol w:w="2623"/>
        <w:gridCol w:w="4323"/>
      </w:tblGrid>
      <w:tr w:rsidR="00B94F3D" w:rsidRPr="00B94F3D" w:rsidTr="000766D2">
        <w:tc>
          <w:tcPr>
            <w:tcW w:w="3085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Директор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32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Стрихарчук Вiталiй Олександрович</w:t>
            </w:r>
          </w:p>
        </w:tc>
      </w:tr>
      <w:tr w:rsidR="00B94F3D" w:rsidRPr="00B94F3D" w:rsidTr="000766D2">
        <w:tc>
          <w:tcPr>
            <w:tcW w:w="3085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32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94F3D" w:rsidRPr="00B94F3D" w:rsidTr="000766D2">
        <w:tc>
          <w:tcPr>
            <w:tcW w:w="3085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94F3D" w:rsidRPr="00B94F3D" w:rsidTr="000766D2">
        <w:tc>
          <w:tcPr>
            <w:tcW w:w="3085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32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Прокопчук Оксана Михайлiвна</w:t>
            </w:r>
          </w:p>
        </w:tc>
      </w:tr>
      <w:tr w:rsidR="00B94F3D" w:rsidRPr="00B94F3D" w:rsidTr="000766D2">
        <w:tc>
          <w:tcPr>
            <w:tcW w:w="3085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323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Default="00B94F3D">
      <w:pPr>
        <w:sectPr w:rsidR="00B94F3D" w:rsidSect="00B94F3D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2016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B94F3D" w:rsidRPr="00B94F3D" w:rsidTr="000766D2">
        <w:tc>
          <w:tcPr>
            <w:tcW w:w="6082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Підприємство  </w:t>
            </w: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Публічне акціонерне товариство "Клеванський лісозавод "Промінь"</w:t>
            </w:r>
          </w:p>
        </w:tc>
        <w:tc>
          <w:tcPr>
            <w:tcW w:w="1956" w:type="dxa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13979681</w:t>
            </w:r>
          </w:p>
        </w:tc>
      </w:tr>
    </w:tbl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4F3D">
        <w:rPr>
          <w:rFonts w:ascii="Times New Roman" w:eastAsia="Times New Roman" w:hAnsi="Times New Roman" w:cs="Times New Roman"/>
          <w:b/>
          <w:bCs/>
          <w:lang w:val="en-US" w:eastAsia="ru-RU"/>
        </w:rPr>
        <w:t>Звіт</w:t>
      </w:r>
      <w:r w:rsidRPr="00B94F3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про власний капітал</w:t>
      </w: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94F3D">
        <w:rPr>
          <w:rFonts w:ascii="Times New Roman" w:eastAsia="Times New Roman" w:hAnsi="Times New Roman" w:cs="Times New Roman"/>
          <w:b/>
          <w:bCs/>
          <w:lang w:val="en-US" w:eastAsia="ru-RU"/>
        </w:rPr>
        <w:t>з</w:t>
      </w:r>
      <w:r w:rsidRPr="00B94F3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а </w:t>
      </w:r>
      <w:r w:rsidRPr="00B94F3D">
        <w:rPr>
          <w:rFonts w:ascii="Times New Roman" w:eastAsia="Times New Roman" w:hAnsi="Times New Roman" w:cs="Times New Roman"/>
          <w:b/>
          <w:bCs/>
          <w:lang w:val="en-US" w:eastAsia="ru-RU"/>
        </w:rPr>
        <w:t>2015 рік</w:t>
      </w:r>
      <w:r w:rsidRPr="00B94F3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B94F3D" w:rsidRPr="00B94F3D" w:rsidTr="000766D2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</w:t>
            </w:r>
            <w:r w:rsidRPr="00B94F3D">
              <w:rPr>
                <w:rFonts w:ascii="Times New Roman" w:eastAsia="Times New Roman" w:hAnsi="Times New Roman" w:cs="Times New Roman"/>
                <w:lang w:val="en-US" w:eastAsia="ru-RU"/>
              </w:rPr>
              <w:t>Форма № 4</w:t>
            </w:r>
            <w:r w:rsidRPr="00B94F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lang w:val="en-US" w:eastAsia="ru-RU"/>
              </w:rPr>
              <w:t>1801005</w:t>
            </w:r>
          </w:p>
        </w:tc>
      </w:tr>
    </w:tbl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B94F3D" w:rsidRPr="00B94F3D" w:rsidRDefault="00B94F3D" w:rsidP="00B9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10317" w:type="dxa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506"/>
        <w:gridCol w:w="630"/>
        <w:gridCol w:w="897"/>
        <w:gridCol w:w="898"/>
        <w:gridCol w:w="897"/>
        <w:gridCol w:w="898"/>
        <w:gridCol w:w="959"/>
        <w:gridCol w:w="836"/>
        <w:gridCol w:w="898"/>
        <w:gridCol w:w="898"/>
      </w:tblGrid>
      <w:tr w:rsidR="00B94F3D" w:rsidRPr="00B94F3D" w:rsidTr="000766D2">
        <w:trPr>
          <w:trHeight w:val="345"/>
        </w:trPr>
        <w:tc>
          <w:tcPr>
            <w:tcW w:w="2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Зареєст-рований (пайовий)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капітал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Капітал у дооцін-ках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Додат-ковий капітал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Резер-вний капітал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Нероз-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поділе-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ний прибуток</w:t>
            </w:r>
            <w:r w:rsidRPr="00B94F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(непокритий збиток)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Неопла-чений капітал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Вилу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чений капітал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Залишок на початок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-38205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-36705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Коригування: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Зміна облікової політики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Виправлення помилок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зміни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Скоригований залишок на початок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-38205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-36705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прибуток (збиток) за звітний період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-36120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-36120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Інший сукупний дохід за звітний період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Розподіл прибутку:</w:t>
            </w:r>
          </w:p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Виплати власникам (дивіденди)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Спрямування прибутку до зареєстрованого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Відрахування до резервного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Внески учасників : Внески до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Погашення заборгованості з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Вилучення капіталу : Викуп акцій (часток)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Перепродаж викуплених акцій (часток)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Анулювання викуплених акцій (часток)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Вилучення частки в капіталі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зміни в капіталі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240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Разом змін у капіталі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-35880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-35880</w:t>
            </w:r>
          </w:p>
        </w:tc>
      </w:tr>
      <w:tr w:rsidR="00B94F3D" w:rsidRPr="00B94F3D" w:rsidTr="000766D2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F3D" w:rsidRPr="00B94F3D" w:rsidRDefault="00B94F3D" w:rsidP="00B94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Залишок на кінець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-74085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F3D" w:rsidRPr="00B94F3D" w:rsidRDefault="00B94F3D" w:rsidP="00B94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-72585</w:t>
            </w: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10314" w:type="dxa"/>
        <w:tblLook w:val="01E0"/>
      </w:tblPr>
      <w:tblGrid>
        <w:gridCol w:w="3227"/>
        <w:gridCol w:w="2481"/>
        <w:gridCol w:w="4606"/>
      </w:tblGrid>
      <w:tr w:rsidR="00B94F3D" w:rsidRPr="00B94F3D" w:rsidTr="000766D2">
        <w:tc>
          <w:tcPr>
            <w:tcW w:w="322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Директор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606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Стрихарчук Вiталiй Олександрович</w:t>
            </w:r>
          </w:p>
        </w:tc>
      </w:tr>
      <w:tr w:rsidR="00B94F3D" w:rsidRPr="00B94F3D" w:rsidTr="000766D2">
        <w:tc>
          <w:tcPr>
            <w:tcW w:w="322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94F3D" w:rsidRPr="00B94F3D" w:rsidTr="000766D2">
        <w:tc>
          <w:tcPr>
            <w:tcW w:w="322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94F3D" w:rsidRPr="00B94F3D" w:rsidTr="000766D2">
        <w:tc>
          <w:tcPr>
            <w:tcW w:w="322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606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Прокопчук Оксана Михайлiвна</w:t>
            </w:r>
          </w:p>
        </w:tc>
      </w:tr>
      <w:tr w:rsidR="00B94F3D" w:rsidRPr="00B94F3D" w:rsidTr="000766D2">
        <w:tc>
          <w:tcPr>
            <w:tcW w:w="3227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B94F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B94F3D" w:rsidRPr="00B94F3D" w:rsidRDefault="00B94F3D" w:rsidP="00B94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Pr="00B94F3D" w:rsidRDefault="00B94F3D" w:rsidP="00B9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B94F3D" w:rsidRDefault="00B94F3D">
      <w:pPr>
        <w:sectPr w:rsidR="00B94F3D" w:rsidSect="00B94F3D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B94F3D" w:rsidRPr="00B94F3D" w:rsidRDefault="00B94F3D" w:rsidP="00B94F3D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9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Примітки до фінансової звітності, складені відповідно до міжнародних стандартів фінансової звітності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Прим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тки до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к, що зак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нчився 31 грудня 2015 року, ПАТ "Клеванський 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созавод "Пром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нь"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1.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 xml:space="preserve">Загальна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про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я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номер св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доцтва про державну реєстрац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ю: АВ № 136258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Дата державної реєстрац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: 22.12.1995 року.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Юридична та фактична адреса товариства: 35312,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вненська обл.,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вненський район, смт Клевань, вул. Зал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знична, буд.2.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Код  ЄДРПОУ - 13979681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види 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ПАТ "Клеванський 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созавод "Пром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нь": 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сопильне та стругальне виробництво; виробництво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мебл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в; виробництво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дерев'яних 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вельних конструкц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й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столярних вироб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в.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Також,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дприємством було укладено догов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 про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льну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йну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з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рмою "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ZELENIO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LTD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" (К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пр), щодо створення в ПАТ "Клеванський 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созавод "Пром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нь" виробництва мебл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йснює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льною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та є повноважним представником "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ZELENIO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LTD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".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Середня 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протягом 2015 року склала 217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тник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з 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нця 2013 року працює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суттєвим впливом несприятливих чинник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в,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з-за складної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тичної ситуац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в Україн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що призвела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до пог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ршення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чної ситуац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ї.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тична напружен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сть, анекс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Криму Рос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йською Федерац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єю та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йськов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на сход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України негативно вплинули на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ринки України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зумовили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зку девальвац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ю нац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ональної валюти по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дношенню до основних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ноземних валют. Нац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ональний банк України встановив певн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обмеження на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в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ноземн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валют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тична та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чна криза призвели до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зкого зростання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 в Україн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енергонос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та,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дно, на вс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товари та послуги, що негативно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добразилося на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нансовому становищ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дприємства. 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нцевий результат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тичної та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чної ситуац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України  та її насл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дки передбачити важко, проте вони можуть мати подальший негативний вплив на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 України та 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знес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2.Основа складання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ПАТ "Клеванський 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созавод "Пром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нь", станом на 31.12.2015 року, була складена у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 МСФЗ та П(С)БО на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дстав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даних бухгалтерського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 з урахуванням коригувань для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лей складання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МСФЗ. Датою переходу на МСФЗ є 01.01.2012 року. Починаючи з 01.01.2012 року до 31.12.2015 року товариство формує 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лише зг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нац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ональних П(С)БО,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ус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х суттєвих аспектах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дають МСФЗ.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Хоча ця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дготовлена зг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МСФЗ та заснована на кращих знаннях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вництва стандарт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нтерпретац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й, поточних фактах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обставинах, це не виключає можливост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їх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ни. Тому, поки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готує свою повну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зг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дно МСФЗ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встановлює свою дату переходу, як це визначено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до МСФЗ 1, не можна виключати можливост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коригування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єї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що може бути суттєвим.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Дана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складена на основ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принцип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нарахування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сторичної 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Валюта представлення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гривня.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складена в тисячах гривень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 заокругленням до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лих.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 найближчому майбутньому товариство буде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дпадати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вплив нестаб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льної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чної та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тичної ситуац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в країн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В результат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чого виникає невизначен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сть, яка може вплинути на майбутн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й спроможн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дшкодування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товариства, здатн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обслуговувати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погашати свої зобов'язання в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ру настання строк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їх оплати.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була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дготовлена на основ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припущення про безперервн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товариства, у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 якого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та погашення зобов'язань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дбувається в ход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її звичайної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3.Суттєв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положення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кової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тики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Визнання та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нка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визнає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нансовий актив або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нансове зобов'язання у баланс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якщо воно стає стороною конкретних положень щодо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нансового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нструмента.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з придбання або продажу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визнаються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 застосуванням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 за датою розрахунку.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час 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сного визнання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нансового активу або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нансового зобов'язання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нює їх за їхньою справедливою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плюс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безпосередньо належать до придбання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нансового активу чи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нансового зобов'язання.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кова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тика щодо подальшої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нки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розкрита нижче у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дних розд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лах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кової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тики.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альний актив - немонетарний актив, який не має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зичної субстанц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та може бути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дентиф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кований.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вництвом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прийнято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шення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нювати нематер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 за 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стю. Амортизац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нематер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включається до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зних статей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ту про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результати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до функц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онального призначення зазначених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ковуються за 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за вирахуванням накопиченої амортизац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та збитк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знец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нення.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зб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льшується на суму витрат, пов'язаних з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пшенням об'єкта, яке призводить до зб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льшення майбутн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х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чних вигод, оч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куваних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використання об'єкта.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Витрати, що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йснюються для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дтримання об'єкта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 робочому стан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витрати на сплату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дсотк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за кредит включаються до складу витрат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Для вс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х об'єкт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амортизац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розраховується прямол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йним методом. Середн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оди амортизац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 прогнозн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строки корисної експлуатац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наступн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 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споруди - 10-20 рок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 Машини та обладнання - 5-10 рок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 Транспортн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 - 5-7 рок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нструменти, прилади,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нвентар (мебл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) - 2-5 рок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 Незавершене 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та невстановлене устаткування - не амортизується.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 включають в себе 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 на модерн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ю та зам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ну частин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подовжують їх терм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 корисного використання або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пшують здатн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приносити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д.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ремонту та техн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чного обслуговування об'єкт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дають вищевказаним критер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ям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ту про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результати за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од, у якому вони були понесен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нансовий результат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вибуття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визначається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манням з доходу їхньої залишкової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Об'єкти,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знаходяться в процес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незавершеного 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вництва,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зуються як окремий елемент необоротних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При завершенн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об'єкта переноситься до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дної групи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Участь у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визнає свою частку у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застосовуючи метод участ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до методу участ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у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льну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спочатку визнається за прв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стю. Балансова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згодом зб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льшується або зменшується внасл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док визнання частки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в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нах чистих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об'єкту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нвестування, що виникають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дати придбання.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об'єкту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 у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льну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складається за той же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тний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од, що й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Частка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дприємства у прибутках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збитках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придбання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в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сукупний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д. Коли частка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у збитках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внює або перевищує її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в об'єкт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нвестування, включаючи будь - яку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ншу незабезпечену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торську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сть,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не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дображає подальш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збитки, за винятком випадк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коли воно прийняло на себе зобов'язання або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йснило платеж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об'єкту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Нереал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зований прибуток за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ями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ж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дприємством та об'єктом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 виключаються у розм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який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дає частц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у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; нереал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збитки також виключаються, окр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 випадк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коли є ознаки знец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нення переданого активу.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Податки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Податок на прибуток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Податков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 та зобов'язання з податку на прибуток за поточний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нюються в сум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передбачен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до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дшкодування податковими органами або до сплати податковим органам. Податков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ставки та податкове законодавство, що застосовуються для розрахунку даної суми - це ставки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законодавство, прийнят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тну дату в країн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в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йснює свою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отримує оподатковуваний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Податок на прибуток, що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дноситьсядо статей, визнаним безпосередньо в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визнається 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талу, а не в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сукупний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д.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одично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йснює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нку позиц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й,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дображених у податкових декларац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ях, щодо яких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дне податкове законодавство може бути по-р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зному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нтерпретоване,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необх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створює резерви.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Податок на додану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к, що завершився 31 грудня 2015, ПДВ нараховувався за двома ставками: 20% на українському внутр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шньому ринку й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мпорт 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т, послуг та 0% -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експорту 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та надання 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 або послуг,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будуть використовуватися за межами України.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ПДВ, що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дноситься до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длягає сплат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податковим органам за найб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льш ранньої з под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й: отримання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кл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або поставка 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т, послуг кл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єнтам. Вх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дний ПДВ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длягає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дшкодуванню шляхом зал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 ПДВ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продажу 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отримання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дтверджуючих документ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ПДВ, що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дноситься до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куп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продажу,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були сплачен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тну дату,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в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нансовий стан в розгорнутому вигляд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розкривається окремо 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зобов'язань. При створенн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резерву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знец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нення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збиток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знец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нення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на повну суму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включаючи ПДВ.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Оренда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Визначення того, чи є угода орендою, або чи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стить вона ознаки оренди, засновано на анал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сту угоди. При цьому на дату початку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договору вимагається встановити, чи залежить його виконання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використання конкретного активу або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в,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чи переходить право користування активом в результат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даної угоди.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Оренда, при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орендодавець збер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гає за собою практично вс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ризики та вигоди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волод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ння активом, класиф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кується як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йна оренда. Платеж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йної оренди визнаються як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 в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сукупний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рно протягом усього терм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ну оренди.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Запаси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Запаси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в бухгалтерському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найменшою з двох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нок: 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або чистою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запас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складається з таких фактичних витрат: суми, що сплачуються зг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з договором постачальнику, за вирахуванням непрямих податк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в; суми вв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зного мита;  транспортно - загот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вельних витрат;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витрат,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безпосередньо пов'язан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придбанням запас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приведенням їх до стану, придатному для використання.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При вибутт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запас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їх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нка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йснюється за методом 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перших за часом надходження запас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(метод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ФО).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Запаси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за чистою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якщо на дату балансу їх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знизилась або вони з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псован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застар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ли, або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ншим чином втратили 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сно оч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кувану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чну вигоду. Чиста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визначається по кожн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одиниц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запас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вирахуванням з оч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куваної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продажу оч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куваних витрат на завершення виробництва та збут. Сума, на яку 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запас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перевищує чисту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їх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та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та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втрачених або з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псованих запас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списується на витрати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Передоплати (аванси видан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Передоплати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за вирахуванням резерву сумн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вних борг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Передоплати класиф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куються як необоротн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коли товари або послуги, пов'язан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передоплатою будуть отриман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ран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ше 12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сяц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з дати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ту про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нансовий стан, або коли передоплата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дноситься до активу, який буде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дображений в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 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необоротних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при 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сному визнанн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Передоплати на придбання активу включаються до його балансової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з моменту отримання контролю над таким активом,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снує ймов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отримання майбутн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х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чних вигод, пов'язаних з його використанням.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передоплати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дносяться на витрати, коли товари або послуги, пов'язан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передоплатою були отриман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Якщо є ознаки того, що активи, товари або послуги не будуть отриман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балансова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передоплати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длягає списанню, 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дний збиток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знец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нення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сукупний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Аванси отриман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Аванси отриман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моменту отримання кошт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за вирахуванням ПДВ.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Поточна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за чистою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за вирахуванням резерву сумн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вних борг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Строк позовної давност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для списання безнад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становить 3 роки.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Нарахування суми резерву сумн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вних борг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за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тний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результати 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йних витрат. Сума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дшкодування ран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ше списаної безнад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йної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включається до складу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йних доход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в.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Довгостроков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короткостроков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Зобов'язання, на яке нараховуються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дсотки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яке не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длягає погашенню протягом дванадцяти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сяц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з дати балансу, класиф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кується як довгострокове.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Довгостроков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зобов'язання, на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нараховуються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дсотки,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в баланс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їх тепер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шньою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стю. Визначення тепер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шньої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залежить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 умов та виду зобов'язання.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Поточн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зобов'язання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на балансових статтях за сумою погашення.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Забезпечення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не створює забезпечення для покриття майбутн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х збитк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Суми створених забезпечень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дносяться до складу витрат того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оду, в якому так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забезпечення були нарахован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Визнання виручки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Виручка визнається в тому випадку, якщо отримання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чних вигод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дприємством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нюється як ймов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рне,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якщо виручка може бути над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нена, незалежно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часу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йснення платежу. Виручка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нюється за справедливою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отриманого або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длягає отриманню винагороди з урахуванням визначених у договор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умов платежу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вирахуванням податк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або мит. Для визнання виручки також виконуються так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умови: виручка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продажу 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визнається при доставц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товару, коли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стотн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ризики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вигоди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волод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ння товаром переходять до покупця.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надання послуг визнається у тому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коли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дна послуга була надана.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нових та /або переглянутих МСФЗ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 1 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чня 2015 року набули чинност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окрем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стандарти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нтерпретац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що є обов'язковими для застосування в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кових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одах, починаючи з 1 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чня 2015 року.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не застосовувало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стандарти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нтерпретац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до початку їх обов'язкового застосування.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При складанн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єї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йснило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нку впливу на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прийнятих стандарт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та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 до них.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МСФЗ 9 "Ф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нструменти: класиф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та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нка" (випущений у липн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2014 року, а обов'язкове застосування перенесено на 1 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чня 2018 року або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єї дати) - використовується по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дношенню до класиф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та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нки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та зобов'язань.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до цього стандарту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 повинн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дноситися до трьох категор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нки: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подальшому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нюються за амортизованою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подальшому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нюються за справедливою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стю,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якої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дносяться на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нший сукупний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подальшому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нюються за справедливою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стю,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якої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прибутк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чи збитк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дне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шення приймається при 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сному визнанн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Класиф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залежить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знес - модел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суб'єкта господарювання, яку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 використовує для управл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ння своїми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нансовими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нструментами та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характеристики грошових поток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 такого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нструмента зг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договору.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в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нструменти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талу завжди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нюються за справедливою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стю. Проте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може зробити остаточний виб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 представляти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справедливої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ншому сукупному доход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умови, що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 не утримується для торг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справедливої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прибутк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та збитк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МСФЗ 9 є добров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льним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нараз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планує застосовувати його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снуючу верс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ю та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нює вплив нового стандарту на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МСФЗ 15 "Виручка за контрактами з кл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єнтами". Цей новий стандарт встановлює основний принцип визнання виручки за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ною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у випадку передач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чи послуг замовнику. Окрем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чи пакету послуг,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ч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тко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дентиф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повинн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визнаватися окремо, а будь -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знижки та ретроспективн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знижки з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контракту, як правило, мають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дноситись на окрем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елементи. Якщо сума винагороди з будь - яких причин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нюється, сл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визнавати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мальн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суми за умови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дсутност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значного ризику перегляду. Витрати, пов'язан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гарант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ями за контрактами  з кл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єнтами, необх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зувати та амортизувати протягом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 надходження вигод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контракту.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Цей стандарт випущений 28 травня 2014 року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вступає в силу з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починаються з або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1 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чня 2017 року.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нює вплив цього нового стандарту на її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МСБО 16 "Основн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засоби" МСБО 38 "Нематер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активи".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належать до метод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амортизац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що залежать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показника доходу. При використанн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такого механ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зму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активу розпод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ляють пропорц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 до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дношення визнаного в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доходу до загальної суми доходу, оч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куваної до одержання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експлуатац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активу. Рада з МСБО зазначила, що "доходний" метод не завжди достеменно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дображає природу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одержання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чних вигод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використання активу. Причина в тому, що на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можуть впливати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чинники (ринкова кон'юктура,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нфляц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я, тощо).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МСФЗ 5 "Непоточн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активи, утримуван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для продажу та припинена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сть". Коригування МСФЗ 5 стосується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способу вибуття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призначених до продажу: розглядається декласиф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активу, якщо його передбачається не продавати, а передати власнику.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МСБО 1 "Подання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нансових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в". Правило подання 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лише суттєвих статей однаково стосується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ток. Систематизовано приклади групування прим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ток. Пояснюються правила подання 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жних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дсумкових статей. Забороняється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лити 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стандарт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 необх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окремо подавати 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Уточнюється формат подання показник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ншого сукупного доходу.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МСБО 11 "Обл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 угод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 придбання часток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 у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льних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ях"-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випущен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 травн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2014 року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набувають чинност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починаються з або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 1 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чня 2016  року/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Прийнят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стандарти,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думку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вництва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дприємства, не мають та не матимуть суттєвого впливу на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їх прийняття, зокрема це: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МСФЗ 14 "В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дстрочен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платеж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пл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що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йснюється за регульованими тарифами"- випущений в 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2014 року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набуває чинност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починаються з або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 1 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чня 2016  року;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МСБО 10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МСБО 28 "Продаж чи внесок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у асоц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йоване чи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льне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дприємство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нвестором"- випущений в вересн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2014 року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набуває чинност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починаються з або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 1 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чня 2016  року;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МСБО 27 "Застосування методу пайової участ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окркм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" -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випущен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 серпн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2014 року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набувають чинност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починаються з або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 1 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чня 2016  року.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4.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стотн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судження,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значення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допущення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Судження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 процес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застосування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кової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тики 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використовувало наступн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судження,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надають найб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льш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стотний вплив на суми, визнан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Ризики пов'язан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вимогами податкового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ншого законодавства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Українське законодавство щодо опадоткування та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йснення господарської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включаючи контроль за валютними та митними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ями продовжує розвиватися. Законодавч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нормативн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 не завжди ч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тко сформульован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а їх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нтерпретац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залежить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точки зору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сцевих , обласних та центральних орган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 влади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орган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державного управл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ння. Нер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дко точки зору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зних орган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на певне питання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зняються.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вважає, що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дотримувалось вс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х нормативних положень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передбачен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законодавством податки та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драхування були нарахован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сплачен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Принцип безперервност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Дана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дготовлена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до принципу безперервної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який передбачає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ю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погашення зобов'язань у ход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звичайної господарської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нка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вництва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стосовно допущення про безперервн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наведен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прим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тках.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нки та припущення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Нижче представлен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припущення, що стосуються майбутнього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основних джерел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нки невизначеност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дату балансу,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несуть у 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значний ризик  виникнення необх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внесення суттєвих коригувань до балансової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та зобов'язань протягом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нансового року.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Справедлива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умовах нестаб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дсутност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активного ринку,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вир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шило застосовувати виключення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вимог МСФЗ щодо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за справедливою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в якост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умовної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передбачен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МСФЗ 1 для суб'єкт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господарювання,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застосовують МСФЗ вперше, та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добразило свої 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 за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сторичною 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стю, тобто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нка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не проводилася.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Резерви на сумн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вну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торську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регулярно проводить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нку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передплат виданих постачальникам для визначення втрати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використовує судження,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грунтуються на досв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взаємов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дносин з контрагентом,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для визначення суми втрати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активу у випадку, коли контрагент знаходиться у складн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ситуац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ї.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йснює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нку, базуючись на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сторичних даних та об'єктивних ознаках втрати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Резерви на знец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нення запас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створює резерв по застар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лим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дним 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алам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готов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продукц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ї.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нка чистої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базується на найб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льш достов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й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доступн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на дату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нки. При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беруться до уваги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витрат, безпосередньо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дносяться до под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дбулися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тної дати, в 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наск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льки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дтверджують наявн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умов на 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нець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у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льну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визначає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у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льну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розраховуючи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дношення її внеску до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чистих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об'єкту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нвестування.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нка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у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льну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базується на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й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об'єкту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 за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тний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 доступн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на дату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нки.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Судов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розгляди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застосовує профес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йне судження при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визнанн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розкритт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потенц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йних зобов'язань, пов'язаних з поточними судовими розглядами або незадоволеними претенз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ями, що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длягають врегулюванню шляхом переговор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за участю трет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х ос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б, за допомогою арб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тражного розгляду або законодавчого регулювання, а також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потенц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йних зобов'язань. Профес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йне судження необх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при визначенн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задаволення позову або претенз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пред'явлених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дприємству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виникнення зобов'язання, пов'язаного з таким позовом або претенз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єю, а також при розрахунку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апазону сум можливого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дшкодування. У силу невизначеност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яка є нев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д'ємною частиною будь - якої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нки, фактичн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збитки можуть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стотно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знятися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розрахованого резерву. Зроблен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припущення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длягають уточненню в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ру надходження нової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головним чином,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внутр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х фах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а також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зовн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х консультант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Перегляд 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сних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нок може зробити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стотний вплив на майбутн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результати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5.Розкриття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що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дтверджує статт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подан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баланс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вництвом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прийнято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шення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нювати нематер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 за 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Трансформац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нематер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йснювалася в напрямку уточнення їх складу та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дображено залишкову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нематер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використовуються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дприємством в процес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ведення господарської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Амортизац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нематер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включається до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зних статей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ту про прибутки та збитки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до функц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онального призначення зазначених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вперше застосовує МСФЗ з 01.01.2012 року.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товариства вир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шило не переоц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нювати необоротн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активи, а рахувати їх як доц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льну 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що рахуються в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 станом на 31.12.2012 року. Тож, станом на 31.12.2013 року, на 31.12.2014 року, на 31.12.2015 року 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 не переоц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нювалися до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вня справедливої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Станом на  31.12.2015 року у товариства: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дсутн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засоби, що тимчасово не використовуються (консервац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я, реконструкц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я);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дсутн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засоби, що передан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заставу.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Амортизац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нараховується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 застосуванням прямол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йного методу. Строки корисного використання встановлюються для кожного об'єкта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окремо. 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визнана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вною нулю. Витрати, понесен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введення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 експлуатац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ю (ремонт,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пшення)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прибутки та збитки у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їх понесення.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Станом на 31.12.2015 року в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ковуються так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що повн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замортизован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але продовжують використовуватися в госпд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їх становить 267863,50 грн. При цьому переоц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нка таких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товариством не проводилася.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Рух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за 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наведено в таблиц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Найменування статт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Земельн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лянки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споруди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Машини та обладнання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транспорт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нстументи, прилади,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нвентар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Незавершене 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вництво, невстановлене устаткування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всього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сна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на 01.01.2012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2900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3191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511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122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998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7722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Надходження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1844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4968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228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134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504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7678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Вибуття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(8)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(2123)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(75)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(3)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(2209)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Внутр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шнє перем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щення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990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(962)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31.12.2012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4736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7026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664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253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540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13219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Надходження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588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2827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47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3613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Вибуття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(253)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(254)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Внутр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шнє перем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щення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120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545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(512)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153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31.12.2013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5445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10140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755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317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47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16704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Надходження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2610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87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2807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Вибуття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(1865)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(22)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(1889)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Внутр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шнє перем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щення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342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(342)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31.12.2014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342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5123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10885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762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402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17529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Надходження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113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165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337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Вибуття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(19)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(4)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(175)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(198)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Внутр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шнє перем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щення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31.12.2015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342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5123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10901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875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422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17668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Амортизац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найменування статт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Земельн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лянки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споруди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Машини та обладнання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транспорт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нстументи, прилади,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нвентар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Незавершене 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вництво, невстановлене устаткування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всього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31.12.2012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(1217)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(2508)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(361)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(163)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(4249)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Нарахування за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(439)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(1843)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(115)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(141)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(2168)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Списано при вибутт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(12)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(12)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31.12.2013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(1656)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(4336)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(476)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(304)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(6772)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Нарахування за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(467)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(1755)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(62)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(72)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(2356)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Списано при вибутт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1350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1372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31.12.2014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(2123)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(4741)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(516)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(376)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(7756)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Нарахування за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(283)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(1632)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(58)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(34)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(2007)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Списано при вибутт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10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31.12.2015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(2406)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(6361)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(574)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(413)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(9754)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 за балансовою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найменування статт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Земельн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лянки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споруди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Машини та обладнання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транспорт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нстументи, прилади,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нвентар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Незавершене 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вництво, невстановлене устаткування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всього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31.12.2012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3519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4518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303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540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8970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На 31.12.2013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3788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5782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279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9932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31.12.2014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342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3000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6144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246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26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9773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31.12.2015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342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2717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4540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301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7914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"Незавершен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ї"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ковувалась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устаткування, яке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тримає в резерв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випадок, якщо аналог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чне вийде з ладу. Ця стаття була перекласиф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кована та включена до статт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"Основн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засоби" в повному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Протягом 2015 року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отримувало окрем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об'єкти  основних засоб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виробничого призначення в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йну оренду. За договором сума орендної плати за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 склала 72 тис. грн.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Довгостроков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уклало догов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 про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льну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йну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з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рмою "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ZELENIO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LTD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" (К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пр), щодо створення в ПАТ "Клеванський 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созавод  "Пром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нь" виробництва мебл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має право на отримання 10% прибутк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результат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таблиц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представлено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ю про частку участ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в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на дату балансу.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показник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 xml:space="preserve">          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 xml:space="preserve">            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початок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997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1106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Частка в чистому збитку 10%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(22)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(224)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Додатковий внесок за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224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115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нець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1199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997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Запаси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Найменування статей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Сировина та 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1960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1381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Незавершене виробництво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4771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3807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Готова продукц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6349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3609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Допом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жн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али, запчастини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130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88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72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Всього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13281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8957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 наведеного вище перел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 включено запаси,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сторичною 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стю. Запаси передан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заставу -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дсутн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Для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дображення сумн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вної та безнад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йної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створено резерв сумн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вних борг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Резерв створюється на основ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методу платоспроможност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окремих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враховуючи чинники наявност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об'єктивних св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дчень того, що товариство не зможе стягнути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торську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сть. Якщо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дбувається зниження платоспроможност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будь-якого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 кл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або фактичн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збитки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невиконання зобов'язань боржниками перевищують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нки товариства, фактичн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результати можуть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знятися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вказаних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нок.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в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галузев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специф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або ж у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нансовому становищ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можуть мати як насл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док коригування величини резерву на знец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нення торгової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ншої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дображеної у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Станом на 31.12.2015 року торгова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нша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складає: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Стаття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Сума, тис.грн.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Торгова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4565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Резерв сумн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(144)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Позики видан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пов'язаним особам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2349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 об'єкту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 у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льну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266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за виданими авансами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283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за розрахунками з бюджетом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31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8250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Рух резерву сумн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вної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 початок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138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138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нараховано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144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списано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На 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нець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282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138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Кошти та їх екв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валенти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 статт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"Грошов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кошти та їх екв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валенти" наведен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 ПСБО 4 та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дають вимогам МСФЗ.  Станом на 31.12.2015 року залишок грошових кошт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 банках складає 617 тис.грн.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Зареєстрований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Станом на 31.12.2015 року Статутний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становить 1500 тис.грн., що под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лено на 150000000 звичайних акц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налом 0,01 грн. У 2015 роц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не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йснювало додаткових ем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акц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й. Частка найб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льшого акц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онера в Статутному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дприємства, станом на 31.12.2015 року становить 95,58 %.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Довгостроков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має зобов'язання по довгостроковому  договору позики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рми "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ZELENIO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"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LTD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Догов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 позики було укладено 05 листопада 2008 року з посл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дуючими доповненнями, за умовами якого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рмою "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ZELENIO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"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LTD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дприємству в загальному надано позику в розм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8000000 долар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США 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11 %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чних строком на 15 рок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Тож,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зобов'язання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дображено в таблиц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валюта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ставка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Терм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 погашення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На 31.12.2015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На 31.12.2014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Кредити позики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Позика "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ZELENIO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"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LTD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Долар США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11%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05.11.2023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62055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53468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62055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53468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Короткостроков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нзобов'язання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Зобов'язання за нарахованими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дсотками "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ZELENIO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"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LTD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Долар США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32978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4484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32978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4484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Товарна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нша кредиторська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Поточна кредиторська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визнана в баланс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нальною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стю.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вважає, що 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нальна 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кредиторської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внює її справедлив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Торгова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нша кредиторська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включала нступне: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Стаття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Товарна кредиторська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8711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7770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об'єкту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 у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льну д-ть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--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--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нша кредиторська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29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47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 складу статт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"поточн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зобов'язання по розрахунках з оплати прац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" включено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щодо виплат прац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вникам зароб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тної плати, утриманих та нарахованих на неї податк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Стаття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Зобов'язання з оплати прац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147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158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Зобов'язання по податку з доход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йськовий зб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Зобов'язання по соц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альному страхуванню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63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Разом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211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223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поточному роц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списання кредиторської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склав 50 тис.грн.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Забезпечення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вництвом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не прийнято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шення визнавати забезпечення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невикористан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дпустки, по яким потр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бно компенсувати прац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вникам невикористан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ними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дпустки.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 про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результати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Чистий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(виручка)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продукц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(товар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т, послуг)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Чистий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складається з таких компонент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 xml:space="preserve">Стаття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готової продукц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17241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17818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65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послуг з переробки та сушки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2802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886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 xml:space="preserve">Разом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20071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18769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Доходи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визнано на дату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двантаження готової продукц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прийняття її замовником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дображено 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вирахуванням податк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з продажу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вирахувань.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зованої продукц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(товар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т, послуг)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зованої продукц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складається з таких компонент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стаття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Сировина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матер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али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11523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 на оплату прац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1501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 на соцстрахування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572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Амортизац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необоротних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2019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580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Разом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16195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18062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вартост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визнано соб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зованої готової продукц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та 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послуг, доходи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яких включено до статт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"чистий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продукц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(товар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т, послуг)". Наднормативних виробничих витрат запас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тному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понесло.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нший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йний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нший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йний 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складається з таких компонент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стаття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купл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продажу 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нвалюти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оборотних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йної курсової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зниц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146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Дох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списання кредиторської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50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Разом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323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2325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Адм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стративн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стаття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 на утримання персоналу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921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641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Консультац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послуги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159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353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Банк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вськ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послуги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65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Амортизац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драхування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45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 на зв'язок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19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16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466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Разом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1264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1586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адм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стративних витрат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дображено витрати понесен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утримання адм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стративно - управл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нського персоналу.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 на збут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стаття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 на оренду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278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221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Маркетинг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188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261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Транспортн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54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 на утримання персоналу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133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187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 на пакування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Амортизац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драхування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32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70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907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428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Разом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1744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1229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 склад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 на збут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дображено витрати, пов'язан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єю (збутом) готової продукц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їта товар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стаття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 на резерви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144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--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реал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оборотних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--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917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67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28937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Разом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211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29855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 статт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"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витрати"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ковуються витрати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дприємства, пов'язан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основною господарською дяльн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 в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тному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вв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йшли до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статей витрат та виникли у процес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звичайної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 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стаття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2015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2014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Витрати на оплату процент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по договору позики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6331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3470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Разом 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6331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3470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 визнаються в обл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дприємством за методом нарахування щом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сячно в сум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яка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длягає розрахунку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до умов договору позики.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 статтю "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витрати" в поточному роц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йшли втрати по неоперац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йним курсовим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зницям  та витрати не пов'язан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господарською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стю.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6. Розкриття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ншої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Управл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ння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талом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 розглядає позиковий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 та статутний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 , як основн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джерела формування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талу. Завданням менеджменту при управл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талом є забезпечення спроможност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товариства продовжувати функц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онування з метою отримання прибутк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та вигод для забезпечення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нансування своїх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йних потреб,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таловкладень та стратег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розвитку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дприємства.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з пов'язаними сторонами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Сторони вважаються пов'язаними, якщо одна сторона має можлив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контролювати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ншу або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йснювати суттєвий вплив на прийняття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нансових та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йних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шень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ншою стороною.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Зг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дно з МСБО 24 "Розкриття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щодо пов'язаних стор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н", пов'язаними сторонами товариства визначено: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акц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онер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товариства, що контролюють або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йснюють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льний контроль та мають суттєвий вплив на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управл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нський персонал товариства.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Основними пов'язаними сторонами по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дношенню до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були: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власник 95,57% акц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товариства - Журавльова Марина Васил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вна;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ТОВ "Промислова група "Апогей" (є пов'язаним з товариством через Журвльову М.В.), основний вид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виробництво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дерев'яних 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вельних конструкц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й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столярних вироб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в;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-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ТОВ "Л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стрейд" (є пов'язаним з товариством через Журвльову М.В.), основний вид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надання в оренду й експлуатац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ю власного чи орендованого нерухомого майна.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Протягом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проводило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з пов'язаними сторонами у ход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ведення звичайної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Умови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з пов'язаними сторонами  не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знялися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умов, що застосовуються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ж  непов'язаними сторонами.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Персонал та оплата прац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Середня 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прац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за 2015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 становить 217 сп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тник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Середня зароб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тна плата по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дприємству за поточний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 становить 1830 грн.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Виплати персоналу проводяться зг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затвердженого  штатного розпису та колективного договору.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не є учасником державних пенс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йних план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Умовн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зобов'язання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Судов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процедури. Станом на 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нець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 в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дсутн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судов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позови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дприємства, керуючись власною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нкою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внутр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ми профес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йними консультац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ями, вважає, що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не зазнає суттєвих збитк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у результат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можливих судових позов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а тому резерв у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створювався.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Податкове законодавство. Українське податкове законодавство часто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нюється, а його суперечлив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положення тлумачаться неоднозначно.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 вважає, що його тлумачення податкового законодавства є обгрунтованими на вс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податки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 до законодавчих норм. Але неможливо гарантувати, що при перев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податков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органи не оскаржать нарахован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суми податк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з метою зб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льшення податкових надходжень до бюджету.  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Управл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ння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нансовими ризиками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Україна вважається країною з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кою, що розвивається,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характерн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дносно висок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тичн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ризики. Майбутня стаб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української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ки в значн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залежить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йснення та вдосконалення податкового та регуляторного законодавства до вимог ринкової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ки.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ка, що розвивається схильна до негативного впливу пад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ння ринкової кон'юктури та економ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чного спаду. Насл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дки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кризи, її тривал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та проблеми в промисловост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та конкретно в буд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вельн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галуз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а також в банк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вському сектор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можуть призвести до скорочення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йних грошових поток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недоступност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кредитних ресурс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зб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льшення витрат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невизначеност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щодо терм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або обсягу зниження запланованих кап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тальних витрат. Непередбачене можливе пог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ршення ситуац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на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жнародних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товарних ринках може негативно вплинути на результати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нансовий стан товариства, насл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дки якого зараз визначити неможливо.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вважає, що в ситуац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ї, яка склалася воно вживає вс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посильн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заходи для забезпечення стаб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товариства та планує продовжувати свою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у доступному для огляду майбутньому.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Товариство має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нструменти, так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як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торська та кредиторська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що виникають в ход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Кредитний ризик - це ризик невиконання контрактних зобов'язань контрагентом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виникнення, в зв'язку з цим,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нансових збитк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в товариств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нструменти, за якими у товариства може потенц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 виникнути значна концентрац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 кредитного ризику, складаються з грошових кошт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та 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Деб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торська заборгован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дображена за вирахуванням резерву.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має кредитну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тику та контролює суму кредитного ризику на пост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основ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 Оц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нка кредитного ризику проводиться по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дношенню до вс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х кл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єнт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яким потр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бн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кредитн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умови, що перевищують певну суму. Товариство не проводило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з пов'язаними сторонами. Анал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 кредитного ризику товариства проводиться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ндив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дуально по кожному випадку.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Ринковий ризик включає валютний ризик,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дсотковий ризик та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нший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новий ризик.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за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тний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 уникло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йснення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схильн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 валютних ризик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З метою управл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ння ризиком зм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 ринкової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ни,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зд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йснює пост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йне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дстеження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 на внутр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шньому ринку України. За результатами даного анал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зу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подальшого прогнозування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 на товари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послуги,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 формує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нову пол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тику в залежност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динам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ки 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ни на ринку.    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Ризик 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це ризик того, що товариство буде не здатне забазпечити виконання своїх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нансових зобов'язань у 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ру їх настання. Мета товариства полягає в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дтримц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безперервност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гнучкост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нансування її операц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йної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шляхом залучення кредитних ресурс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та використання права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дстрочки платежу постачальникам. Товариство анал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зує строк своїх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строки платеж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 за своїми зобов'язаннями та планує свою 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в залежност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оч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куваних надходжень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 погашення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нансових 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в. У раз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недостатньої 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кв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товариство перерозпод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ляє ресурси для досягнення оптимального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нансування своєї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Под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оду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Головним управл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нням ДФС у 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вненськ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област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01.03.2016 року на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проводиться планова податкова перев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рка за 2013 - 2014 роки. Суттєв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даної под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ї на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сть можливо буде розкрити 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льки по завершенню перев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рки контролюючого органу.</w:t>
      </w:r>
    </w:p>
    <w:p w:rsidR="00B94F3D" w:rsidRPr="00B94F3D" w:rsidRDefault="00B94F3D" w:rsidP="00B94F3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нших под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й, як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могли вплинути на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нансовий стан товариства,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сля  31.12.2015 року до дати затвердження кер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вництвом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 ф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зв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дбулося. Тобто, п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працювало у звичайному режим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н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яких судових процес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 анулювання укладених договор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оголошення про припинення д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, суттєвого придбання чи продажу актив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в, надзвичайних ситуац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й не в</w:t>
      </w:r>
      <w:r w:rsidRPr="00B94F3D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B94F3D">
        <w:rPr>
          <w:rFonts w:ascii="Courier New" w:eastAsia="Times New Roman" w:hAnsi="Courier New" w:cs="Courier New"/>
          <w:sz w:val="20"/>
          <w:szCs w:val="20"/>
          <w:lang w:eastAsia="uk-UA"/>
        </w:rPr>
        <w:t>дбулося.</w:t>
      </w:r>
    </w:p>
    <w:sectPr w:rsidR="00B94F3D" w:rsidRPr="00B94F3D" w:rsidSect="00B94F3D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compat/>
  <w:rsids>
    <w:rsidRoot w:val="00B94F3D"/>
    <w:rsid w:val="00000001"/>
    <w:rsid w:val="00124DFE"/>
    <w:rsid w:val="00130343"/>
    <w:rsid w:val="00300AE8"/>
    <w:rsid w:val="0074723A"/>
    <w:rsid w:val="00B94F3D"/>
    <w:rsid w:val="00F16D0B"/>
    <w:rsid w:val="00F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8017</Words>
  <Characters>45699</Characters>
  <Application>Microsoft Office Word</Application>
  <DocSecurity>0</DocSecurity>
  <Lines>380</Lines>
  <Paragraphs>107</Paragraphs>
  <ScaleCrop>false</ScaleCrop>
  <Company>Microsoft</Company>
  <LinksUpToDate>false</LinksUpToDate>
  <CharactersWithSpaces>53609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2017-11-01T11:45:00Z</dcterms:created>
  <dcterms:modified xsi:type="dcterms:W3CDTF">2017-11-01T11:45:00Z</dcterms:modified>
</cp:coreProperties>
</file>